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FBF6" w14:textId="77777777" w:rsidR="00556E5E" w:rsidRDefault="00556E5E" w:rsidP="00F308B2">
      <w:pPr>
        <w:pStyle w:val="Body"/>
        <w:jc w:val="center"/>
        <w:rPr>
          <w:sz w:val="28"/>
          <w:szCs w:val="28"/>
        </w:rPr>
      </w:pPr>
    </w:p>
    <w:p w14:paraId="79E7DF3C" w14:textId="77777777" w:rsidR="00556E5E" w:rsidRDefault="00556E5E" w:rsidP="00F308B2">
      <w:pPr>
        <w:pStyle w:val="Body"/>
        <w:jc w:val="center"/>
        <w:rPr>
          <w:sz w:val="28"/>
          <w:szCs w:val="28"/>
        </w:rPr>
      </w:pPr>
    </w:p>
    <w:p w14:paraId="4F6BFCF4" w14:textId="77777777" w:rsidR="00556E5E" w:rsidRDefault="00B04517" w:rsidP="00F308B2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lang w:val="it-IT"/>
        </w:rPr>
        <w:t>Bridport Rugby Football Club</w:t>
      </w:r>
    </w:p>
    <w:p w14:paraId="7CD3F5BA" w14:textId="77777777" w:rsidR="00556E5E" w:rsidRDefault="00556E5E" w:rsidP="00F308B2">
      <w:pPr>
        <w:pStyle w:val="Body"/>
        <w:jc w:val="center"/>
        <w:rPr>
          <w:sz w:val="28"/>
          <w:szCs w:val="28"/>
        </w:rPr>
      </w:pPr>
    </w:p>
    <w:p w14:paraId="6A86DFA5" w14:textId="77777777" w:rsidR="00556E5E" w:rsidRDefault="00B04517" w:rsidP="00F308B2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Safeguarding Briefing to Club Committee</w:t>
      </w:r>
    </w:p>
    <w:p w14:paraId="533EBF8A" w14:textId="77777777" w:rsidR="00556E5E" w:rsidRDefault="00556E5E" w:rsidP="00F308B2">
      <w:pPr>
        <w:pStyle w:val="Body"/>
        <w:jc w:val="center"/>
        <w:rPr>
          <w:sz w:val="28"/>
          <w:szCs w:val="28"/>
          <w:u w:val="single"/>
        </w:rPr>
      </w:pPr>
    </w:p>
    <w:p w14:paraId="294701FA" w14:textId="565329BA" w:rsidR="00556E5E" w:rsidRDefault="00B04517" w:rsidP="00F308B2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Monday 1</w:t>
      </w:r>
      <w:r w:rsidR="00F308B2">
        <w:rPr>
          <w:sz w:val="28"/>
          <w:szCs w:val="28"/>
        </w:rPr>
        <w:t>4</w:t>
      </w:r>
      <w:r>
        <w:rPr>
          <w:sz w:val="28"/>
          <w:szCs w:val="28"/>
        </w:rPr>
        <w:t xml:space="preserve">th </w:t>
      </w:r>
      <w:r w:rsidR="00F308B2">
        <w:rPr>
          <w:sz w:val="28"/>
          <w:szCs w:val="28"/>
        </w:rPr>
        <w:t>December</w:t>
      </w:r>
      <w:r>
        <w:rPr>
          <w:sz w:val="28"/>
          <w:szCs w:val="28"/>
        </w:rPr>
        <w:t xml:space="preserve"> 2020 </w:t>
      </w:r>
    </w:p>
    <w:p w14:paraId="24239C6E" w14:textId="77777777" w:rsidR="00556E5E" w:rsidRDefault="00556E5E" w:rsidP="00F308B2">
      <w:pPr>
        <w:pStyle w:val="Body"/>
        <w:jc w:val="center"/>
        <w:rPr>
          <w:sz w:val="28"/>
          <w:szCs w:val="28"/>
        </w:rPr>
      </w:pPr>
    </w:p>
    <w:p w14:paraId="0534DBD1" w14:textId="77777777" w:rsidR="00556E5E" w:rsidRDefault="00556E5E" w:rsidP="00F308B2">
      <w:pPr>
        <w:pStyle w:val="Body"/>
        <w:jc w:val="center"/>
        <w:rPr>
          <w:sz w:val="28"/>
          <w:szCs w:val="28"/>
        </w:rPr>
      </w:pPr>
    </w:p>
    <w:p w14:paraId="57E188B6" w14:textId="77777777" w:rsidR="00556E5E" w:rsidRDefault="00556E5E" w:rsidP="00F308B2">
      <w:pPr>
        <w:pStyle w:val="Body"/>
        <w:jc w:val="center"/>
        <w:rPr>
          <w:sz w:val="28"/>
          <w:szCs w:val="28"/>
        </w:rPr>
      </w:pPr>
    </w:p>
    <w:p w14:paraId="02469945" w14:textId="77777777" w:rsidR="00556E5E" w:rsidRDefault="00556E5E" w:rsidP="00F308B2">
      <w:pPr>
        <w:pStyle w:val="Body"/>
        <w:jc w:val="center"/>
        <w:rPr>
          <w:sz w:val="28"/>
          <w:szCs w:val="28"/>
        </w:rPr>
      </w:pPr>
    </w:p>
    <w:p w14:paraId="697295CD" w14:textId="77777777" w:rsidR="00556E5E" w:rsidRDefault="00556E5E" w:rsidP="00F308B2">
      <w:pPr>
        <w:pStyle w:val="Body"/>
        <w:jc w:val="center"/>
        <w:rPr>
          <w:sz w:val="28"/>
          <w:szCs w:val="28"/>
        </w:rPr>
      </w:pPr>
    </w:p>
    <w:p w14:paraId="6BE9B9FB" w14:textId="77777777" w:rsidR="00556E5E" w:rsidRDefault="00556E5E" w:rsidP="00F308B2">
      <w:pPr>
        <w:pStyle w:val="Body"/>
        <w:jc w:val="center"/>
        <w:rPr>
          <w:sz w:val="28"/>
          <w:szCs w:val="28"/>
        </w:rPr>
      </w:pPr>
    </w:p>
    <w:p w14:paraId="0090C13B" w14:textId="77777777" w:rsidR="00556E5E" w:rsidRDefault="00556E5E" w:rsidP="00F308B2">
      <w:pPr>
        <w:pStyle w:val="Body"/>
        <w:jc w:val="center"/>
        <w:rPr>
          <w:sz w:val="28"/>
          <w:szCs w:val="28"/>
        </w:rPr>
      </w:pPr>
    </w:p>
    <w:p w14:paraId="4C51AF67" w14:textId="77777777" w:rsidR="00556E5E" w:rsidRDefault="00556E5E" w:rsidP="00F308B2">
      <w:pPr>
        <w:pStyle w:val="Body"/>
        <w:jc w:val="center"/>
        <w:rPr>
          <w:sz w:val="28"/>
          <w:szCs w:val="28"/>
        </w:rPr>
      </w:pPr>
    </w:p>
    <w:p w14:paraId="74C2DA62" w14:textId="77777777" w:rsidR="00556E5E" w:rsidRDefault="00556E5E" w:rsidP="00F308B2">
      <w:pPr>
        <w:pStyle w:val="Body"/>
        <w:jc w:val="center"/>
        <w:rPr>
          <w:sz w:val="28"/>
          <w:szCs w:val="28"/>
        </w:rPr>
      </w:pPr>
    </w:p>
    <w:p w14:paraId="7240D058" w14:textId="77777777" w:rsidR="00556E5E" w:rsidRDefault="00556E5E" w:rsidP="00F308B2">
      <w:pPr>
        <w:pStyle w:val="Body"/>
        <w:jc w:val="center"/>
        <w:rPr>
          <w:sz w:val="28"/>
          <w:szCs w:val="28"/>
        </w:rPr>
      </w:pPr>
    </w:p>
    <w:p w14:paraId="3B85ABCB" w14:textId="77777777" w:rsidR="00556E5E" w:rsidRDefault="00556E5E" w:rsidP="00F308B2">
      <w:pPr>
        <w:pStyle w:val="Body"/>
        <w:jc w:val="center"/>
        <w:rPr>
          <w:sz w:val="28"/>
          <w:szCs w:val="28"/>
        </w:rPr>
      </w:pPr>
    </w:p>
    <w:p w14:paraId="121C4CE9" w14:textId="77777777" w:rsidR="00556E5E" w:rsidRDefault="00556E5E" w:rsidP="00F308B2">
      <w:pPr>
        <w:pStyle w:val="Body"/>
        <w:jc w:val="center"/>
        <w:rPr>
          <w:sz w:val="28"/>
          <w:szCs w:val="28"/>
        </w:rPr>
      </w:pPr>
    </w:p>
    <w:p w14:paraId="62BF4907" w14:textId="77777777" w:rsidR="00556E5E" w:rsidRDefault="00556E5E" w:rsidP="00F308B2">
      <w:pPr>
        <w:pStyle w:val="Body"/>
      </w:pPr>
    </w:p>
    <w:p w14:paraId="5F618F32" w14:textId="77777777" w:rsidR="00556E5E" w:rsidRDefault="00556E5E" w:rsidP="00F308B2">
      <w:pPr>
        <w:pStyle w:val="Body"/>
      </w:pPr>
    </w:p>
    <w:p w14:paraId="3CBF6275" w14:textId="77777777" w:rsidR="00556E5E" w:rsidRDefault="00556E5E" w:rsidP="00F308B2">
      <w:pPr>
        <w:pStyle w:val="Body"/>
      </w:pPr>
    </w:p>
    <w:p w14:paraId="190F6CC3" w14:textId="69A2A2F5" w:rsidR="00F308B2" w:rsidRDefault="00F308B2" w:rsidP="00F308B2">
      <w:pPr>
        <w:pStyle w:val="Body"/>
      </w:pPr>
      <w:r>
        <w:t>Dorset &amp; Wilts RFU (CB) Safeguarding Briefing 1</w:t>
      </w:r>
      <w:r w:rsidRPr="00F308B2">
        <w:rPr>
          <w:vertAlign w:val="superscript"/>
        </w:rPr>
        <w:t>st</w:t>
      </w:r>
      <w:r>
        <w:t xml:space="preserve"> December 2020</w:t>
      </w:r>
    </w:p>
    <w:p w14:paraId="48418F28" w14:textId="3CECF7B0" w:rsidR="00F308B2" w:rsidRDefault="00F308B2" w:rsidP="00F308B2">
      <w:pPr>
        <w:pStyle w:val="Body"/>
        <w:rPr>
          <w:b w:val="0"/>
          <w:bCs w:val="0"/>
        </w:rPr>
      </w:pPr>
      <w:r>
        <w:rPr>
          <w:b w:val="0"/>
          <w:bCs w:val="0"/>
        </w:rPr>
        <w:t>The key messages from the D&amp;W briefing are:</w:t>
      </w:r>
    </w:p>
    <w:p w14:paraId="1696B3D5" w14:textId="435FD142" w:rsidR="00F308B2" w:rsidRDefault="00F308B2" w:rsidP="00F308B2">
      <w:pPr>
        <w:pStyle w:val="Body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Safeguarding training from D&amp;W </w:t>
      </w:r>
      <w:r w:rsidR="008B0046">
        <w:rPr>
          <w:b w:val="0"/>
          <w:bCs w:val="0"/>
        </w:rPr>
        <w:t xml:space="preserve">is </w:t>
      </w:r>
      <w:r>
        <w:rPr>
          <w:b w:val="0"/>
          <w:bCs w:val="0"/>
        </w:rPr>
        <w:t>still not available. Advice remains to follow the rugby road map.</w:t>
      </w:r>
    </w:p>
    <w:p w14:paraId="5C5F8CEA" w14:textId="67D1B464" w:rsidR="00F308B2" w:rsidRDefault="00F308B2" w:rsidP="00F308B2">
      <w:pPr>
        <w:pStyle w:val="Body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D&amp;W reiterate the importance to be up to date with Safeguarding. Reference is made for coaches, managers, and officers to complete the online Safeguarding module referred to in D&amp;W previous bulletin. </w:t>
      </w:r>
      <w:r w:rsidR="00D94FFA">
        <w:rPr>
          <w:b w:val="0"/>
          <w:bCs w:val="0"/>
        </w:rPr>
        <w:t xml:space="preserve">This reminder is repeated in the RFU November bulletin. </w:t>
      </w:r>
    </w:p>
    <w:p w14:paraId="28A8794D" w14:textId="11F9B615" w:rsidR="00F308B2" w:rsidRDefault="00F308B2" w:rsidP="00F308B2">
      <w:pPr>
        <w:pStyle w:val="Body"/>
        <w:numPr>
          <w:ilvl w:val="1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Committee briefed regarding this </w:t>
      </w:r>
      <w:r w:rsidR="008B0046">
        <w:rPr>
          <w:b w:val="0"/>
          <w:bCs w:val="0"/>
        </w:rPr>
        <w:t>on 12</w:t>
      </w:r>
      <w:r w:rsidR="008B0046" w:rsidRPr="008B0046">
        <w:rPr>
          <w:b w:val="0"/>
          <w:bCs w:val="0"/>
          <w:vertAlign w:val="superscript"/>
        </w:rPr>
        <w:t>th</w:t>
      </w:r>
      <w:r w:rsidR="008B0046">
        <w:rPr>
          <w:b w:val="0"/>
          <w:bCs w:val="0"/>
        </w:rPr>
        <w:t xml:space="preserve"> October and supported with information to access and hyperlink. Committee meeting on 9</w:t>
      </w:r>
      <w:r w:rsidR="008B0046" w:rsidRPr="008B0046">
        <w:rPr>
          <w:b w:val="0"/>
          <w:bCs w:val="0"/>
          <w:vertAlign w:val="superscript"/>
        </w:rPr>
        <w:t>th</w:t>
      </w:r>
      <w:r w:rsidR="008B0046">
        <w:rPr>
          <w:b w:val="0"/>
          <w:bCs w:val="0"/>
        </w:rPr>
        <w:t xml:space="preserve"> November confirmed nil completed to date under AOB. </w:t>
      </w:r>
    </w:p>
    <w:p w14:paraId="3FD4B3D6" w14:textId="224092A9" w:rsidR="008B0046" w:rsidRDefault="008B0046" w:rsidP="00F308B2">
      <w:pPr>
        <w:pStyle w:val="Body"/>
        <w:numPr>
          <w:ilvl w:val="1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GMS indicates nil completed </w:t>
      </w:r>
      <w:r w:rsidR="005D119F">
        <w:rPr>
          <w:b w:val="0"/>
          <w:bCs w:val="0"/>
        </w:rPr>
        <w:t>on</w:t>
      </w:r>
      <w:r>
        <w:rPr>
          <w:b w:val="0"/>
          <w:bCs w:val="0"/>
        </w:rPr>
        <w:t xml:space="preserve"> 11</w:t>
      </w:r>
      <w:r w:rsidRPr="008B0046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December</w:t>
      </w:r>
    </w:p>
    <w:p w14:paraId="05C49DD3" w14:textId="0CD7E90C" w:rsidR="008B0046" w:rsidRDefault="008B0046" w:rsidP="008B0046">
      <w:pPr>
        <w:pStyle w:val="Body"/>
        <w:rPr>
          <w:b w:val="0"/>
          <w:bCs w:val="0"/>
        </w:rPr>
      </w:pPr>
      <w:r>
        <w:rPr>
          <w:b w:val="0"/>
          <w:bCs w:val="0"/>
        </w:rPr>
        <w:t xml:space="preserve">The online module is beyond basic and genuinely takes no more than 10 to 15 minutes to complete. As officers of the </w:t>
      </w:r>
      <w:r w:rsidR="00855B61">
        <w:rPr>
          <w:b w:val="0"/>
          <w:bCs w:val="0"/>
        </w:rPr>
        <w:t>club,</w:t>
      </w:r>
      <w:r>
        <w:rPr>
          <w:b w:val="0"/>
          <w:bCs w:val="0"/>
        </w:rPr>
        <w:t xml:space="preserve"> we share a corporate responsibility to demonstrate due diligence, in this respect towards safeguarding.</w:t>
      </w:r>
      <w:r w:rsidR="00855B61">
        <w:rPr>
          <w:b w:val="0"/>
          <w:bCs w:val="0"/>
        </w:rPr>
        <w:t xml:space="preserve"> Each time we fall short, especially when we have been alerted to a requirement by the RFU, CB, or our internal processes we cease to have a reasonable defense. </w:t>
      </w:r>
      <w:r>
        <w:rPr>
          <w:b w:val="0"/>
          <w:bCs w:val="0"/>
        </w:rPr>
        <w:t xml:space="preserve"> </w:t>
      </w:r>
    </w:p>
    <w:p w14:paraId="599B6497" w14:textId="77777777" w:rsidR="00855B61" w:rsidRDefault="00855B61" w:rsidP="00855B61">
      <w:pPr>
        <w:rPr>
          <w:b/>
          <w:bCs/>
        </w:rPr>
      </w:pPr>
    </w:p>
    <w:p w14:paraId="3E164F8B" w14:textId="20ED7355" w:rsidR="00855B61" w:rsidRDefault="00855B61" w:rsidP="00855B61">
      <w:pPr>
        <w:rPr>
          <w:rFonts w:ascii="Calibri" w:eastAsia="Times New Roman" w:hAnsi="Calibri" w:cs="Calibri"/>
          <w:bdr w:val="none" w:sz="0" w:space="0" w:color="auto"/>
          <w:lang w:val="en-GB" w:eastAsia="en-GB"/>
        </w:rPr>
      </w:pPr>
      <w:r w:rsidRPr="00855B61">
        <w:rPr>
          <w:rFonts w:ascii="Calibri" w:hAnsi="Calibri" w:cs="Calibri"/>
          <w:b/>
          <w:bCs/>
        </w:rPr>
        <w:t xml:space="preserve">Due diligence: </w:t>
      </w:r>
      <w:r w:rsidRPr="00855B61">
        <w:rPr>
          <w:rFonts w:ascii="Calibri" w:eastAsia="Times New Roman" w:hAnsi="Calibri" w:cs="Calibri"/>
          <w:bdr w:val="none" w:sz="0" w:space="0" w:color="auto"/>
          <w:lang w:val="en-GB" w:eastAsia="en-GB"/>
        </w:rPr>
        <w:t>reasonable steps taken by a person (or corporate body) to avoid committing a tort (tort is a wrong in civil law and often requires a fine to remedy) or offence.</w:t>
      </w:r>
    </w:p>
    <w:p w14:paraId="506E54A7" w14:textId="33B25D2A" w:rsidR="00855B61" w:rsidRDefault="00855B61" w:rsidP="00855B61">
      <w:pPr>
        <w:rPr>
          <w:rFonts w:ascii="Calibri" w:eastAsia="Times New Roman" w:hAnsi="Calibri" w:cs="Calibri"/>
          <w:bdr w:val="none" w:sz="0" w:space="0" w:color="auto"/>
          <w:lang w:val="en-GB" w:eastAsia="en-GB"/>
        </w:rPr>
      </w:pPr>
    </w:p>
    <w:p w14:paraId="0EF1A716" w14:textId="77777777" w:rsidR="00047558" w:rsidRDefault="00855B61" w:rsidP="00855B6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bdr w:val="none" w:sz="0" w:space="0" w:color="auto"/>
          <w:lang w:val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Headcase training module </w:t>
      </w:r>
      <w:r w:rsidR="00047558">
        <w:rPr>
          <w:rFonts w:eastAsia="Times New Roman"/>
          <w:sz w:val="24"/>
          <w:szCs w:val="24"/>
          <w:bdr w:val="none" w:sz="0" w:space="0" w:color="auto"/>
          <w:lang w:val="en-GB"/>
        </w:rPr>
        <w:t>–</w:t>
      </w:r>
      <w:r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</w:t>
      </w:r>
      <w:r w:rsidR="0004755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can the committee report the how many relevant coaches are outstanding on this training. It is a requirement prior to the Play It Safe course. </w:t>
      </w:r>
    </w:p>
    <w:p w14:paraId="2E93573B" w14:textId="77777777" w:rsidR="00047558" w:rsidRDefault="00047558" w:rsidP="00855B6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bdr w:val="none" w:sz="0" w:space="0" w:color="auto"/>
          <w:lang w:val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Safeguarding self-audit – we have submitted and are therefore compliant. </w:t>
      </w:r>
    </w:p>
    <w:p w14:paraId="5289E179" w14:textId="37E28784" w:rsidR="00047558" w:rsidRDefault="000C4EF1" w:rsidP="00855B6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bdr w:val="none" w:sz="0" w:space="0" w:color="auto"/>
          <w:lang w:val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/>
        </w:rPr>
        <w:t>17-year-old</w:t>
      </w:r>
      <w:r w:rsidR="0004755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playing adult rugby – a reiteration that approval is required before they train or play in the adult game.</w:t>
      </w:r>
      <w:r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Committee reported no 17-year-old playing up at October meeting.</w:t>
      </w:r>
    </w:p>
    <w:p w14:paraId="506D5DA5" w14:textId="77777777" w:rsidR="00047558" w:rsidRDefault="00047558" w:rsidP="00855B6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bdr w:val="none" w:sz="0" w:space="0" w:color="auto"/>
          <w:lang w:val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Behaviour – a reminder about the rules of R4R and the two-touch rule. Some clubs were using it as an opportunity to have more contact in a game. </w:t>
      </w:r>
    </w:p>
    <w:p w14:paraId="262AB125" w14:textId="77777777" w:rsidR="000C4EF1" w:rsidRDefault="00047558" w:rsidP="00855B6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bdr w:val="none" w:sz="0" w:space="0" w:color="auto"/>
          <w:lang w:val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/>
        </w:rPr>
        <w:lastRenderedPageBreak/>
        <w:t xml:space="preserve">DBS – process continues as normal. A reminder that it is now a requirement that the person must have completed the </w:t>
      </w:r>
      <w:r w:rsidR="000C4EF1">
        <w:rPr>
          <w:rFonts w:eastAsia="Times New Roman"/>
          <w:sz w:val="24"/>
          <w:szCs w:val="24"/>
          <w:bdr w:val="none" w:sz="0" w:space="0" w:color="auto"/>
          <w:lang w:val="en-GB"/>
        </w:rPr>
        <w:t>initial safeguarding awareness course online before starting the DBS process. Reported to committee at October meeting.</w:t>
      </w:r>
    </w:p>
    <w:p w14:paraId="5041BCBF" w14:textId="77777777" w:rsidR="000C4EF1" w:rsidRDefault="000C4EF1" w:rsidP="00855B6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bdr w:val="none" w:sz="0" w:space="0" w:color="auto"/>
          <w:lang w:val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Safer Recruitment Policy – D&amp;W report that many clubs are not following this policy. Committee is briefed on this and has adopted the RFU application form and process. </w:t>
      </w:r>
    </w:p>
    <w:p w14:paraId="218D7C4F" w14:textId="6B83749E" w:rsidR="000C4EF1" w:rsidRPr="00D94FFA" w:rsidRDefault="000C4EF1" w:rsidP="000C4EF1">
      <w:pPr>
        <w:rPr>
          <w:rFonts w:ascii="Calibri" w:eastAsia="Times New Roman" w:hAnsi="Calibri" w:cs="Calibri"/>
          <w:b/>
          <w:bCs/>
          <w:bdr w:val="none" w:sz="0" w:space="0" w:color="auto"/>
          <w:lang w:val="en-GB"/>
        </w:rPr>
      </w:pPr>
      <w:r w:rsidRPr="00D94FFA">
        <w:rPr>
          <w:rFonts w:ascii="Calibri" w:eastAsia="Times New Roman" w:hAnsi="Calibri" w:cs="Calibri"/>
          <w:b/>
          <w:bCs/>
          <w:bdr w:val="none" w:sz="0" w:space="0" w:color="auto"/>
          <w:lang w:val="en-GB"/>
        </w:rPr>
        <w:t>RFU Safeguarding Bulletin</w:t>
      </w:r>
      <w:r w:rsidR="00D94FFA" w:rsidRPr="00D94FFA">
        <w:rPr>
          <w:rFonts w:ascii="Calibri" w:eastAsia="Times New Roman" w:hAnsi="Calibri" w:cs="Calibri"/>
          <w:b/>
          <w:bCs/>
          <w:bdr w:val="none" w:sz="0" w:space="0" w:color="auto"/>
          <w:lang w:val="en-GB"/>
        </w:rPr>
        <w:t xml:space="preserve"> November 2020</w:t>
      </w:r>
    </w:p>
    <w:p w14:paraId="2D1DC610" w14:textId="6A44269B" w:rsidR="00D94FFA" w:rsidRDefault="00D94FFA" w:rsidP="000C4EF1">
      <w:pPr>
        <w:rPr>
          <w:rFonts w:eastAsia="Times New Roman"/>
          <w:b/>
          <w:bCs/>
          <w:bdr w:val="none" w:sz="0" w:space="0" w:color="auto"/>
          <w:lang w:val="en-GB"/>
        </w:rPr>
      </w:pPr>
    </w:p>
    <w:p w14:paraId="5389FD7F" w14:textId="2A2EA554" w:rsidR="00D94FFA" w:rsidRDefault="00D94FFA" w:rsidP="00D94FFA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bdr w:val="none" w:sz="0" w:space="0" w:color="auto"/>
          <w:lang w:val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Rugby activity – A reminder that all on-going or future rugby activity must be in line with RFU Regulations (15 and 21 specifically), RFU Safeguarding Policy, Covid-19 restrictions and the RFU Rugby Road Map. </w:t>
      </w:r>
    </w:p>
    <w:p w14:paraId="5A8946FB" w14:textId="5A04E0CA" w:rsidR="00D94FFA" w:rsidRDefault="00D94FFA" w:rsidP="00D94FFA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bdr w:val="none" w:sz="0" w:space="0" w:color="auto"/>
          <w:lang w:val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DBS processing – The RFU are reminding us of the need to carry out ID checks in accordance with guidance. </w:t>
      </w:r>
    </w:p>
    <w:p w14:paraId="08309029" w14:textId="3E1BCA38" w:rsidR="00D94FFA" w:rsidRPr="00D94FFA" w:rsidRDefault="00D94FFA" w:rsidP="00D94FFA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bdr w:val="none" w:sz="0" w:space="0" w:color="auto"/>
          <w:lang w:val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Mental Health Advice – The RFU have highlighted a number of organisations that can support individuals who are experiencing difficulties. </w:t>
      </w:r>
    </w:p>
    <w:p w14:paraId="68724A23" w14:textId="77777777" w:rsidR="000C4EF1" w:rsidRDefault="000C4EF1" w:rsidP="000C4EF1">
      <w:pPr>
        <w:rPr>
          <w:rFonts w:eastAsia="Times New Roman"/>
          <w:bdr w:val="none" w:sz="0" w:space="0" w:color="auto"/>
          <w:lang w:val="en-GB"/>
        </w:rPr>
      </w:pPr>
    </w:p>
    <w:p w14:paraId="7903A3F2" w14:textId="4580D9E4" w:rsidR="00556E5E" w:rsidRPr="00D94FFA" w:rsidRDefault="00B04517" w:rsidP="00D94FFA">
      <w:pPr>
        <w:rPr>
          <w:rFonts w:ascii="Calibri" w:eastAsia="Times New Roman" w:hAnsi="Calibri" w:cs="Calibri"/>
          <w:b/>
          <w:bCs/>
          <w:bdr w:val="none" w:sz="0" w:space="0" w:color="auto"/>
          <w:lang w:val="en-GB" w:eastAsia="en-GB"/>
        </w:rPr>
      </w:pPr>
      <w:r w:rsidRPr="00D94FFA">
        <w:rPr>
          <w:rFonts w:ascii="Calibri" w:hAnsi="Calibri" w:cs="Calibri"/>
          <w:b/>
          <w:bCs/>
        </w:rPr>
        <w:t>Safeguarding Concerns</w:t>
      </w:r>
      <w:r w:rsidR="00D94FFA">
        <w:rPr>
          <w:rFonts w:ascii="Calibri" w:hAnsi="Calibri" w:cs="Calibri"/>
          <w:b/>
          <w:bCs/>
        </w:rPr>
        <w:t>, club specific</w:t>
      </w:r>
    </w:p>
    <w:p w14:paraId="1BB5743A" w14:textId="7B33CDAD" w:rsidR="00556E5E" w:rsidRDefault="00B04517" w:rsidP="00F308B2">
      <w:pPr>
        <w:pStyle w:val="Body"/>
        <w:rPr>
          <w:b w:val="0"/>
          <w:bCs w:val="0"/>
        </w:rPr>
      </w:pPr>
      <w:r>
        <w:rPr>
          <w:b w:val="0"/>
          <w:bCs w:val="0"/>
        </w:rPr>
        <w:t>None reported</w:t>
      </w:r>
    </w:p>
    <w:p w14:paraId="1C82B33E" w14:textId="222FC3E1" w:rsidR="00D94FFA" w:rsidRDefault="00D94FFA" w:rsidP="00F308B2">
      <w:pPr>
        <w:pStyle w:val="Body"/>
      </w:pPr>
      <w:r w:rsidRPr="00594C35">
        <w:t>DBS update from Charlie</w:t>
      </w:r>
    </w:p>
    <w:p w14:paraId="600E869E" w14:textId="7BB24E3B" w:rsidR="00594C35" w:rsidRPr="00594C35" w:rsidRDefault="00594C35" w:rsidP="00594C35">
      <w:pPr>
        <w:pStyle w:val="Body"/>
        <w:rPr>
          <w:b w:val="0"/>
          <w:bCs w:val="0"/>
          <w:lang w:val="en-GB"/>
        </w:rPr>
      </w:pPr>
      <w:r w:rsidRPr="005D119F">
        <w:rPr>
          <w:b w:val="0"/>
          <w:bCs w:val="0"/>
          <w:lang w:val="en-GB"/>
        </w:rPr>
        <w:t xml:space="preserve">Email </w:t>
      </w:r>
      <w:r w:rsidR="005D119F" w:rsidRPr="005D119F">
        <w:rPr>
          <w:b w:val="0"/>
          <w:bCs w:val="0"/>
          <w:lang w:val="en-GB"/>
        </w:rPr>
        <w:t>sent</w:t>
      </w:r>
    </w:p>
    <w:p w14:paraId="5C7CA3CE" w14:textId="77777777" w:rsidR="00594C35" w:rsidRPr="00594C35" w:rsidRDefault="00594C35" w:rsidP="00F308B2">
      <w:pPr>
        <w:pStyle w:val="Body"/>
      </w:pPr>
    </w:p>
    <w:p w14:paraId="0D14E131" w14:textId="750FBA1D" w:rsidR="00594C35" w:rsidRDefault="00594C35" w:rsidP="00D94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en-GB" w:eastAsia="en-GB"/>
        </w:rPr>
      </w:pPr>
    </w:p>
    <w:p w14:paraId="7763D5E8" w14:textId="77777777" w:rsidR="00594C35" w:rsidRPr="00D94FFA" w:rsidRDefault="00594C35" w:rsidP="00D94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en-GB" w:eastAsia="en-GB"/>
        </w:rPr>
      </w:pPr>
    </w:p>
    <w:p w14:paraId="68A4A7C5" w14:textId="77777777" w:rsidR="00D94FFA" w:rsidRDefault="00D94FFA" w:rsidP="00F308B2">
      <w:pPr>
        <w:pStyle w:val="Body"/>
        <w:rPr>
          <w:b w:val="0"/>
          <w:bCs w:val="0"/>
        </w:rPr>
      </w:pPr>
    </w:p>
    <w:p w14:paraId="1B388B8C" w14:textId="77777777" w:rsidR="00556E5E" w:rsidRDefault="00556E5E">
      <w:pPr>
        <w:pStyle w:val="ListParagraph"/>
        <w:spacing w:before="240" w:after="60" w:line="240" w:lineRule="auto"/>
        <w:ind w:left="360"/>
        <w:outlineLvl w:val="1"/>
        <w:rPr>
          <w:sz w:val="24"/>
          <w:szCs w:val="24"/>
        </w:rPr>
      </w:pPr>
    </w:p>
    <w:p w14:paraId="634E2F5B" w14:textId="77777777" w:rsidR="00556E5E" w:rsidRDefault="00556E5E">
      <w:pPr>
        <w:pStyle w:val="Body"/>
        <w:rPr>
          <w:sz w:val="26"/>
          <w:szCs w:val="26"/>
        </w:rPr>
      </w:pPr>
    </w:p>
    <w:p w14:paraId="497BAA6C" w14:textId="77777777" w:rsidR="00556E5E" w:rsidRDefault="00556E5E">
      <w:pPr>
        <w:pStyle w:val="Body"/>
        <w:spacing w:after="0"/>
      </w:pPr>
    </w:p>
    <w:sectPr w:rsidR="00556E5E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40F8D" w14:textId="77777777" w:rsidR="001F25DC" w:rsidRDefault="001F25DC">
      <w:r>
        <w:separator/>
      </w:r>
    </w:p>
  </w:endnote>
  <w:endnote w:type="continuationSeparator" w:id="0">
    <w:p w14:paraId="480BACDB" w14:textId="77777777" w:rsidR="001F25DC" w:rsidRDefault="001F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2B38" w14:textId="77777777" w:rsidR="00556E5E" w:rsidRDefault="00B04517">
    <w:pPr>
      <w:pStyle w:val="Body"/>
      <w:tabs>
        <w:tab w:val="center" w:pos="4550"/>
        <w:tab w:val="left" w:pos="5818"/>
        <w:tab w:val="right" w:pos="8766"/>
      </w:tabs>
      <w:ind w:right="260"/>
      <w:jc w:val="center"/>
      <w:rPr>
        <w:rFonts w:ascii="Cambria" w:eastAsia="Cambria" w:hAnsi="Cambria" w:cs="Cambria"/>
        <w:color w:val="002060"/>
        <w:spacing w:val="60"/>
        <w:sz w:val="20"/>
        <w:szCs w:val="20"/>
        <w:u w:color="002060"/>
      </w:rPr>
    </w:pPr>
    <w:r>
      <w:rPr>
        <w:b w:val="0"/>
        <w:bCs w:val="0"/>
        <w:sz w:val="22"/>
        <w:szCs w:val="22"/>
      </w:rPr>
      <w:t>Teamwork</w:t>
    </w:r>
    <w:r>
      <w:rPr>
        <w:b w:val="0"/>
        <w:bCs w:val="0"/>
        <w:sz w:val="22"/>
        <w:szCs w:val="22"/>
      </w:rPr>
      <w:tab/>
      <w:t>Respect</w:t>
    </w:r>
    <w:r>
      <w:rPr>
        <w:b w:val="0"/>
        <w:bCs w:val="0"/>
        <w:sz w:val="22"/>
        <w:szCs w:val="22"/>
      </w:rPr>
      <w:tab/>
      <w:t>Enjoyment</w:t>
    </w:r>
    <w:r>
      <w:rPr>
        <w:b w:val="0"/>
        <w:bCs w:val="0"/>
        <w:sz w:val="22"/>
        <w:szCs w:val="22"/>
      </w:rPr>
      <w:tab/>
      <w:t>Discipline</w:t>
    </w:r>
    <w:r>
      <w:rPr>
        <w:b w:val="0"/>
        <w:bCs w:val="0"/>
        <w:sz w:val="22"/>
        <w:szCs w:val="22"/>
      </w:rPr>
      <w:tab/>
    </w:r>
    <w:r>
      <w:rPr>
        <w:rFonts w:ascii="Cambria" w:hAnsi="Cambria"/>
        <w:color w:val="002060"/>
        <w:spacing w:val="60"/>
        <w:sz w:val="20"/>
        <w:szCs w:val="20"/>
        <w:u w:color="002060"/>
      </w:rPr>
      <w:t>Sportsmanship</w:t>
    </w:r>
  </w:p>
  <w:p w14:paraId="66AEDF6E" w14:textId="77777777" w:rsidR="00556E5E" w:rsidRDefault="00B04517">
    <w:pPr>
      <w:pStyle w:val="Body"/>
      <w:tabs>
        <w:tab w:val="center" w:pos="4550"/>
        <w:tab w:val="left" w:pos="5818"/>
        <w:tab w:val="right" w:pos="8766"/>
      </w:tabs>
      <w:ind w:right="260"/>
    </w:pPr>
    <w:r>
      <w:rPr>
        <w:color w:val="548DD4"/>
        <w:spacing w:val="60"/>
        <w:u w:color="548DD4"/>
      </w:rPr>
      <w:tab/>
    </w:r>
    <w:r>
      <w:rPr>
        <w:color w:val="548DD4"/>
        <w:spacing w:val="60"/>
        <w:u w:color="548DD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DC66" w14:textId="77777777" w:rsidR="001F25DC" w:rsidRDefault="001F25DC">
      <w:r>
        <w:separator/>
      </w:r>
    </w:p>
  </w:footnote>
  <w:footnote w:type="continuationSeparator" w:id="0">
    <w:p w14:paraId="69D8220B" w14:textId="77777777" w:rsidR="001F25DC" w:rsidRDefault="001F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0320A" w14:textId="77777777" w:rsidR="00556E5E" w:rsidRDefault="00B04517">
    <w:pPr>
      <w:pStyle w:val="Header"/>
      <w:jc w:val="center"/>
    </w:pPr>
    <w:r>
      <w:rPr>
        <w:noProof/>
      </w:rPr>
      <w:drawing>
        <wp:inline distT="0" distB="0" distL="0" distR="0" wp14:anchorId="5912AB9A" wp14:editId="3C4E084A">
          <wp:extent cx="1028700" cy="8382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F777F"/>
    <w:multiLevelType w:val="hybridMultilevel"/>
    <w:tmpl w:val="2FE4BF66"/>
    <w:styleLink w:val="Numbered"/>
    <w:lvl w:ilvl="0" w:tplc="2CE0DBC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D29E7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DAD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7238D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EC24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46415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E99F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4159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326E3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C540F3"/>
    <w:multiLevelType w:val="hybridMultilevel"/>
    <w:tmpl w:val="BEAAF8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151DE0"/>
    <w:multiLevelType w:val="hybridMultilevel"/>
    <w:tmpl w:val="2FE4BF66"/>
    <w:numStyleLink w:val="Numbered"/>
  </w:abstractNum>
  <w:abstractNum w:abstractNumId="3" w15:restartNumberingAfterBreak="0">
    <w:nsid w:val="7FCB67D7"/>
    <w:multiLevelType w:val="hybridMultilevel"/>
    <w:tmpl w:val="9042C5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5E"/>
    <w:rsid w:val="00047558"/>
    <w:rsid w:val="000C4EF1"/>
    <w:rsid w:val="001F25DC"/>
    <w:rsid w:val="004758ED"/>
    <w:rsid w:val="00556E5E"/>
    <w:rsid w:val="00594C35"/>
    <w:rsid w:val="005D119F"/>
    <w:rsid w:val="00855B61"/>
    <w:rsid w:val="008B0046"/>
    <w:rsid w:val="009B7BE3"/>
    <w:rsid w:val="00B04517"/>
    <w:rsid w:val="00C524C8"/>
    <w:rsid w:val="00D94FFA"/>
    <w:rsid w:val="00F3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2A3F"/>
  <w15:docId w15:val="{8A298BF2-D1AE-574E-B6AB-DB91401C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before="240" w:after="60"/>
      <w:outlineLvl w:val="1"/>
    </w:pPr>
    <w:rPr>
      <w:rFonts w:ascii="Calibri" w:hAnsi="Calibri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Briggs</dc:creator>
  <cp:lastModifiedBy>Kathy Briggs</cp:lastModifiedBy>
  <cp:revision>2</cp:revision>
  <cp:lastPrinted>2020-12-13T17:25:00Z</cp:lastPrinted>
  <dcterms:created xsi:type="dcterms:W3CDTF">2020-12-14T16:55:00Z</dcterms:created>
  <dcterms:modified xsi:type="dcterms:W3CDTF">2020-12-14T16:55:00Z</dcterms:modified>
</cp:coreProperties>
</file>